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F0" w:rsidRPr="00D65440" w:rsidRDefault="00587FF0" w:rsidP="00587FF0">
      <w:pPr>
        <w:pStyle w:val="Heading1"/>
      </w:pPr>
      <w:r w:rsidRPr="00D65440">
        <w:t>ACETAZOLAMIDE    CAS # 59665</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13871.0 mg/Kg</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   Eye</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Contact: Causes eye irritation.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SENSITIZATION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Exposure can cause: Headache. </w:t>
      </w:r>
      <w:proofErr w:type="gramStart"/>
      <w:r w:rsidRPr="00D65440">
        <w:rPr>
          <w:rFonts w:ascii="Courier New" w:hAnsi="Courier New" w:cs="Courier New"/>
          <w:sz w:val="20"/>
          <w:szCs w:val="20"/>
        </w:rPr>
        <w:t>Fatigue.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Anorexia.</w:t>
      </w:r>
      <w:proofErr w:type="gramEnd"/>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Gastrointestinal disturbances.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Drowsiness.</w:t>
      </w:r>
      <w:proofErr w:type="gramEnd"/>
      <w:r w:rsidRPr="00D65440">
        <w:rPr>
          <w:rFonts w:ascii="Courier New" w:hAnsi="Courier New" w:cs="Courier New"/>
          <w:sz w:val="20"/>
          <w:szCs w:val="20"/>
        </w:rPr>
        <w:t xml:space="preserve"> To the best of our</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knowledge</w:t>
      </w:r>
      <w:proofErr w:type="gramEnd"/>
      <w:r w:rsidRPr="00D65440">
        <w:rPr>
          <w:rFonts w:ascii="Courier New" w:hAnsi="Courier New" w:cs="Courier New"/>
          <w:sz w:val="20"/>
          <w:szCs w:val="20"/>
        </w:rPr>
        <w:t>, the chemical, physical, and toxicological properties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not been thoroughly investigated. </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STORAGE GROUP(S):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FIRE EXTINGUISHER: powder, or   appropriate foam.</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587FF0" w:rsidRPr="00D65440" w:rsidRDefault="00587FF0" w:rsidP="00587FF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36/38   Risk Statements: Irritating to eyes and skin.</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87FF0" w:rsidRPr="00D65440" w:rsidRDefault="00587FF0" w:rsidP="00587FF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587FF0" w:rsidRPr="00D65440" w:rsidRDefault="00587FF0" w:rsidP="00587FF0">
      <w:pPr>
        <w:pStyle w:val="PlainText"/>
        <w:rPr>
          <w:rFonts w:ascii="Courier New" w:hAnsi="Courier New" w:cs="Courier New"/>
          <w:sz w:val="20"/>
          <w:szCs w:val="20"/>
        </w:rPr>
      </w:pPr>
    </w:p>
    <w:p w:rsidR="00587FF0" w:rsidRPr="00D65440" w:rsidRDefault="00587FF0" w:rsidP="00587FF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87FF0" w:rsidRDefault="00587FF0">
      <w:bookmarkStart w:id="0" w:name="_GoBack"/>
      <w:bookmarkEnd w:id="0"/>
    </w:p>
    <w:sectPr w:rsidR="00587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FF0"/>
    <w:rsid w:val="00587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7F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FF0"/>
    <w:rPr>
      <w:rFonts w:ascii="Courier New" w:eastAsiaTheme="majorEastAsia" w:hAnsi="Courier New" w:cstheme="majorBidi"/>
      <w:b/>
      <w:bCs/>
      <w:sz w:val="20"/>
      <w:szCs w:val="28"/>
    </w:rPr>
  </w:style>
  <w:style w:type="paragraph" w:styleId="NoSpacing">
    <w:name w:val="No Spacing"/>
    <w:autoRedefine/>
    <w:uiPriority w:val="1"/>
    <w:qFormat/>
    <w:rsid w:val="00587FF0"/>
    <w:pPr>
      <w:spacing w:after="0" w:line="240" w:lineRule="auto"/>
      <w:jc w:val="both"/>
    </w:pPr>
    <w:rPr>
      <w:sz w:val="18"/>
    </w:rPr>
  </w:style>
  <w:style w:type="paragraph" w:styleId="PlainText">
    <w:name w:val="Plain Text"/>
    <w:basedOn w:val="Normal"/>
    <w:link w:val="PlainTextChar"/>
    <w:uiPriority w:val="99"/>
    <w:unhideWhenUsed/>
    <w:rsid w:val="00587F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7FF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87FF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FF0"/>
    <w:rPr>
      <w:rFonts w:ascii="Courier New" w:eastAsiaTheme="majorEastAsia" w:hAnsi="Courier New" w:cstheme="majorBidi"/>
      <w:b/>
      <w:bCs/>
      <w:sz w:val="20"/>
      <w:szCs w:val="28"/>
    </w:rPr>
  </w:style>
  <w:style w:type="paragraph" w:styleId="NoSpacing">
    <w:name w:val="No Spacing"/>
    <w:autoRedefine/>
    <w:uiPriority w:val="1"/>
    <w:qFormat/>
    <w:rsid w:val="00587FF0"/>
    <w:pPr>
      <w:spacing w:after="0" w:line="240" w:lineRule="auto"/>
      <w:jc w:val="both"/>
    </w:pPr>
    <w:rPr>
      <w:sz w:val="18"/>
    </w:rPr>
  </w:style>
  <w:style w:type="paragraph" w:styleId="PlainText">
    <w:name w:val="Plain Text"/>
    <w:basedOn w:val="Normal"/>
    <w:link w:val="PlainTextChar"/>
    <w:uiPriority w:val="99"/>
    <w:unhideWhenUsed/>
    <w:rsid w:val="00587F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87FF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2012-08-15T17:28:00Z</dcterms:modified>
</cp:coreProperties>
</file>